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363DF" w14:textId="77777777" w:rsidR="00C75D0C" w:rsidRDefault="00C75D0C" w:rsidP="00C75D0C">
      <w:pPr>
        <w:jc w:val="center"/>
        <w:rPr>
          <w:rFonts w:ascii="Times" w:eastAsiaTheme="majorEastAsia" w:hAnsi="Times" w:cstheme="majorBidi"/>
          <w:b/>
          <w:bCs/>
          <w:color w:val="000000" w:themeColor="text1"/>
          <w:sz w:val="17"/>
          <w:szCs w:val="17"/>
          <w:lang w:eastAsia="ja-JP"/>
        </w:rPr>
      </w:pPr>
      <w:bookmarkStart w:id="0" w:name="_Hlk45737529"/>
    </w:p>
    <w:p w14:paraId="22DB3629" w14:textId="77777777" w:rsidR="00C75D0C" w:rsidRDefault="00C75D0C" w:rsidP="00C75D0C">
      <w:pPr>
        <w:jc w:val="center"/>
        <w:rPr>
          <w:rFonts w:ascii="Times" w:eastAsiaTheme="majorEastAsia" w:hAnsi="Times" w:cstheme="majorBidi"/>
          <w:b/>
          <w:bCs/>
          <w:color w:val="000000" w:themeColor="text1"/>
          <w:sz w:val="17"/>
          <w:szCs w:val="17"/>
          <w:lang w:eastAsia="ja-JP"/>
        </w:rPr>
      </w:pPr>
    </w:p>
    <w:p w14:paraId="4EB975B2" w14:textId="77777777" w:rsidR="00C75D0C" w:rsidRDefault="00C75D0C" w:rsidP="00C75D0C">
      <w:pPr>
        <w:jc w:val="center"/>
        <w:rPr>
          <w:rFonts w:ascii="Times" w:eastAsiaTheme="majorEastAsia" w:hAnsi="Times" w:cstheme="majorBidi"/>
          <w:b/>
          <w:bCs/>
          <w:color w:val="000000" w:themeColor="text1"/>
          <w:sz w:val="17"/>
          <w:szCs w:val="17"/>
          <w:lang w:eastAsia="ja-JP"/>
        </w:rPr>
      </w:pPr>
    </w:p>
    <w:p w14:paraId="3BE50D59" w14:textId="3179D74F" w:rsidR="00C75D0C" w:rsidRPr="005B6C8A" w:rsidRDefault="00C75D0C" w:rsidP="00C75D0C">
      <w:pPr>
        <w:jc w:val="center"/>
        <w:rPr>
          <w:rFonts w:ascii="Times" w:eastAsiaTheme="majorEastAsia" w:hAnsi="Times" w:cstheme="majorBidi"/>
          <w:b/>
          <w:bCs/>
          <w:color w:val="000000" w:themeColor="text1"/>
          <w:sz w:val="17"/>
          <w:szCs w:val="17"/>
          <w:lang w:eastAsia="ja-JP"/>
        </w:rPr>
      </w:pPr>
      <w:bookmarkStart w:id="1" w:name="_Hlk45738021"/>
      <w:r w:rsidRPr="005B6C8A">
        <w:rPr>
          <w:rFonts w:ascii="Times" w:eastAsiaTheme="majorEastAsia" w:hAnsi="Times" w:cstheme="majorBidi"/>
          <w:b/>
          <w:bCs/>
          <w:noProof/>
          <w:color w:val="000000" w:themeColor="text1"/>
          <w:sz w:val="17"/>
          <w:szCs w:val="17"/>
        </w:rPr>
        <w:drawing>
          <wp:anchor distT="0" distB="0" distL="114300" distR="114300" simplePos="0" relativeHeight="251659264" behindDoc="0" locked="0" layoutInCell="1" allowOverlap="1" wp14:anchorId="66F16DDC" wp14:editId="57107D58">
            <wp:simplePos x="0" y="0"/>
            <wp:positionH relativeFrom="margin">
              <wp:align>center</wp:align>
            </wp:positionH>
            <wp:positionV relativeFrom="paragraph">
              <wp:posOffset>-680720</wp:posOffset>
            </wp:positionV>
            <wp:extent cx="2856515" cy="566420"/>
            <wp:effectExtent l="0" t="0" r="0" b="0"/>
            <wp:wrapNone/>
            <wp:docPr id="1" name="Picture 1"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56515" cy="566420"/>
                    </a:xfrm>
                    <a:prstGeom prst="rect">
                      <a:avLst/>
                    </a:prstGeom>
                  </pic:spPr>
                </pic:pic>
              </a:graphicData>
            </a:graphic>
            <wp14:sizeRelH relativeFrom="page">
              <wp14:pctWidth>0</wp14:pctWidth>
            </wp14:sizeRelH>
            <wp14:sizeRelV relativeFrom="page">
              <wp14:pctHeight>0</wp14:pctHeight>
            </wp14:sizeRelV>
          </wp:anchor>
        </w:drawing>
      </w:r>
      <w:r w:rsidRPr="005B6C8A">
        <w:rPr>
          <w:rFonts w:ascii="Times" w:eastAsiaTheme="majorEastAsia" w:hAnsi="Times" w:cstheme="majorBidi"/>
          <w:b/>
          <w:bCs/>
          <w:color w:val="000000" w:themeColor="text1"/>
          <w:sz w:val="17"/>
          <w:szCs w:val="17"/>
          <w:lang w:eastAsia="ja-JP"/>
        </w:rPr>
        <w:t>Addendum to Master Materials Management Service Agreement</w:t>
      </w:r>
      <w:r>
        <w:rPr>
          <w:rFonts w:ascii="Times" w:eastAsiaTheme="majorEastAsia" w:hAnsi="Times" w:cstheme="majorBidi"/>
          <w:b/>
          <w:bCs/>
          <w:color w:val="000000" w:themeColor="text1"/>
          <w:sz w:val="17"/>
          <w:szCs w:val="17"/>
          <w:lang w:eastAsia="ja-JP"/>
        </w:rPr>
        <w:t xml:space="preserve"> or other similar agreement</w:t>
      </w:r>
      <w:r w:rsidRPr="005B6C8A">
        <w:rPr>
          <w:rFonts w:ascii="Times" w:eastAsiaTheme="majorEastAsia" w:hAnsi="Times" w:cstheme="majorBidi"/>
          <w:b/>
          <w:bCs/>
          <w:color w:val="000000" w:themeColor="text1"/>
          <w:sz w:val="17"/>
          <w:szCs w:val="17"/>
          <w:lang w:eastAsia="ja-JP"/>
        </w:rPr>
        <w:t xml:space="preserve"> </w:t>
      </w:r>
      <w:r>
        <w:rPr>
          <w:rFonts w:ascii="Times" w:eastAsiaTheme="majorEastAsia" w:hAnsi="Times" w:cstheme="majorBidi"/>
          <w:b/>
          <w:bCs/>
          <w:color w:val="000000" w:themeColor="text1"/>
          <w:sz w:val="17"/>
          <w:szCs w:val="17"/>
          <w:lang w:eastAsia="ja-JP"/>
        </w:rPr>
        <w:t xml:space="preserve">(this “Addendum”) </w:t>
      </w:r>
      <w:r w:rsidRPr="005B6C8A">
        <w:rPr>
          <w:rFonts w:ascii="Times" w:eastAsiaTheme="majorEastAsia" w:hAnsi="Times" w:cstheme="majorBidi"/>
          <w:b/>
          <w:bCs/>
          <w:color w:val="000000" w:themeColor="text1"/>
          <w:sz w:val="17"/>
          <w:szCs w:val="17"/>
          <w:lang w:eastAsia="ja-JP"/>
        </w:rPr>
        <w:t xml:space="preserve">by and between </w:t>
      </w:r>
      <w:r>
        <w:rPr>
          <w:rFonts w:ascii="Times" w:eastAsiaTheme="majorEastAsia" w:hAnsi="Times" w:cstheme="majorBidi"/>
          <w:b/>
          <w:bCs/>
          <w:color w:val="000000" w:themeColor="text1"/>
          <w:sz w:val="17"/>
          <w:szCs w:val="17"/>
          <w:lang w:eastAsia="ja-JP"/>
        </w:rPr>
        <w:t xml:space="preserve"> </w:t>
      </w:r>
      <w:r w:rsidR="003B4114">
        <w:rPr>
          <w:rFonts w:ascii="Times" w:eastAsiaTheme="majorEastAsia" w:hAnsi="Times" w:cstheme="majorBidi"/>
          <w:b/>
          <w:bCs/>
          <w:color w:val="000000" w:themeColor="text1"/>
          <w:sz w:val="17"/>
          <w:szCs w:val="17"/>
          <w:lang w:eastAsia="ja-JP"/>
        </w:rPr>
        <w:t>KCIA School</w:t>
      </w:r>
      <w:r>
        <w:rPr>
          <w:rFonts w:ascii="Times" w:eastAsiaTheme="majorEastAsia" w:hAnsi="Times" w:cstheme="majorBidi"/>
          <w:b/>
          <w:bCs/>
          <w:color w:val="000000" w:themeColor="text1"/>
          <w:sz w:val="17"/>
          <w:szCs w:val="17"/>
          <w:lang w:eastAsia="ja-JP"/>
        </w:rPr>
        <w:t xml:space="preserve"> </w:t>
      </w:r>
      <w:r w:rsidRPr="005B6C8A">
        <w:rPr>
          <w:rFonts w:ascii="Times" w:eastAsiaTheme="majorEastAsia" w:hAnsi="Times" w:cstheme="majorBidi"/>
          <w:b/>
          <w:bCs/>
          <w:color w:val="000000" w:themeColor="text1"/>
          <w:sz w:val="17"/>
          <w:szCs w:val="17"/>
          <w:lang w:eastAsia="ja-JP"/>
        </w:rPr>
        <w:t>(“Customer”) and RoadRunner Recycling, Inc. (</w:t>
      </w:r>
      <w:r>
        <w:rPr>
          <w:rFonts w:ascii="Times" w:eastAsiaTheme="majorEastAsia" w:hAnsi="Times" w:cstheme="majorBidi"/>
          <w:b/>
          <w:bCs/>
          <w:color w:val="000000" w:themeColor="text1"/>
          <w:sz w:val="17"/>
          <w:szCs w:val="17"/>
          <w:lang w:eastAsia="ja-JP"/>
        </w:rPr>
        <w:t xml:space="preserve">the </w:t>
      </w:r>
      <w:r w:rsidRPr="005B6C8A">
        <w:rPr>
          <w:rFonts w:ascii="Times" w:eastAsiaTheme="majorEastAsia" w:hAnsi="Times" w:cstheme="majorBidi"/>
          <w:b/>
          <w:bCs/>
          <w:color w:val="000000" w:themeColor="text1"/>
          <w:sz w:val="17"/>
          <w:szCs w:val="17"/>
          <w:lang w:eastAsia="ja-JP"/>
        </w:rPr>
        <w:t xml:space="preserve">“Company”) </w:t>
      </w:r>
      <w:r>
        <w:rPr>
          <w:rFonts w:ascii="Times" w:eastAsiaTheme="majorEastAsia" w:hAnsi="Times" w:cstheme="majorBidi"/>
          <w:b/>
          <w:bCs/>
          <w:color w:val="000000" w:themeColor="text1"/>
          <w:sz w:val="17"/>
          <w:szCs w:val="17"/>
          <w:lang w:eastAsia="ja-JP"/>
        </w:rPr>
        <w:t>with an Effective D</w:t>
      </w:r>
      <w:r w:rsidRPr="005B6C8A">
        <w:rPr>
          <w:rFonts w:ascii="Times" w:eastAsiaTheme="majorEastAsia" w:hAnsi="Times" w:cstheme="majorBidi"/>
          <w:b/>
          <w:bCs/>
          <w:color w:val="000000" w:themeColor="text1"/>
          <w:sz w:val="17"/>
          <w:szCs w:val="17"/>
          <w:lang w:eastAsia="ja-JP"/>
        </w:rPr>
        <w:t xml:space="preserve">ate </w:t>
      </w:r>
      <w:r>
        <w:rPr>
          <w:rFonts w:ascii="Times" w:eastAsiaTheme="majorEastAsia" w:hAnsi="Times" w:cstheme="majorBidi"/>
          <w:b/>
          <w:bCs/>
          <w:color w:val="000000" w:themeColor="text1"/>
          <w:sz w:val="17"/>
          <w:szCs w:val="17"/>
          <w:lang w:eastAsia="ja-JP"/>
        </w:rPr>
        <w:t xml:space="preserve">of </w:t>
      </w:r>
      <w:r w:rsidR="003B4114">
        <w:rPr>
          <w:rFonts w:ascii="Times" w:eastAsiaTheme="majorEastAsia" w:hAnsi="Times" w:cstheme="majorBidi"/>
          <w:b/>
          <w:bCs/>
          <w:color w:val="000000" w:themeColor="text1"/>
          <w:sz w:val="17"/>
          <w:szCs w:val="17"/>
          <w:lang w:eastAsia="ja-JP"/>
        </w:rPr>
        <w:t>3</w:t>
      </w:r>
      <w:r>
        <w:rPr>
          <w:rFonts w:ascii="Times" w:eastAsiaTheme="majorEastAsia" w:hAnsi="Times" w:cstheme="majorBidi"/>
          <w:b/>
          <w:bCs/>
          <w:color w:val="000000" w:themeColor="text1"/>
          <w:sz w:val="17"/>
          <w:szCs w:val="17"/>
          <w:lang w:eastAsia="ja-JP"/>
        </w:rPr>
        <w:t>/1/2023 (the “Agreement”)</w:t>
      </w:r>
    </w:p>
    <w:bookmarkEnd w:id="1"/>
    <w:p w14:paraId="5D3DE772" w14:textId="77777777" w:rsidR="00C75D0C" w:rsidRPr="005B6C8A" w:rsidRDefault="00C75D0C" w:rsidP="00C75D0C">
      <w:pPr>
        <w:rPr>
          <w:b/>
          <w:color w:val="000000" w:themeColor="text1"/>
        </w:rPr>
      </w:pPr>
    </w:p>
    <w:p w14:paraId="2AE4F1A2" w14:textId="77777777" w:rsidR="00C75D0C" w:rsidRPr="005B6C8A" w:rsidRDefault="00C75D0C" w:rsidP="00C75D0C">
      <w:pPr>
        <w:pStyle w:val="Heading3"/>
        <w:spacing w:before="60" w:after="60"/>
        <w:rPr>
          <w:rFonts w:ascii="Times" w:hAnsi="Times"/>
          <w:color w:val="000000" w:themeColor="text1"/>
          <w:sz w:val="17"/>
          <w:szCs w:val="17"/>
        </w:rPr>
      </w:pPr>
      <w:r w:rsidRPr="005B6C8A">
        <w:rPr>
          <w:rFonts w:ascii="Times" w:hAnsi="Times"/>
          <w:color w:val="000000" w:themeColor="text1"/>
          <w:sz w:val="17"/>
          <w:szCs w:val="17"/>
        </w:rPr>
        <w:t>Summary of Terms</w:t>
      </w:r>
    </w:p>
    <w:p w14:paraId="2C1698F0" w14:textId="77777777" w:rsidR="00C75D0C" w:rsidRPr="005B6C8A" w:rsidRDefault="00C75D0C" w:rsidP="00C75D0C">
      <w:pPr>
        <w:pStyle w:val="Heading3"/>
        <w:spacing w:before="60" w:after="60"/>
        <w:rPr>
          <w:rFonts w:ascii="Times" w:hAnsi="Times"/>
          <w:color w:val="F2F2F2" w:themeColor="background1" w:themeShade="F2"/>
          <w:sz w:val="17"/>
          <w:szCs w:val="17"/>
        </w:rPr>
      </w:pPr>
      <w:r>
        <w:rPr>
          <w:rFonts w:ascii="Times" w:hAnsi="Times"/>
          <w:color w:val="000000" w:themeColor="text1"/>
          <w:sz w:val="17"/>
          <w:szCs w:val="17"/>
        </w:rPr>
        <w:t xml:space="preserve">Company: </w:t>
      </w:r>
      <w:r w:rsidRPr="00D9313B">
        <w:rPr>
          <w:rFonts w:ascii="Times" w:hAnsi="Times"/>
          <w:bCs w:val="0"/>
          <w:color w:val="000000" w:themeColor="text1"/>
          <w:sz w:val="17"/>
          <w:szCs w:val="17"/>
        </w:rPr>
        <w:t>RoadRunner Recycling, Inc</w:t>
      </w:r>
      <w:r w:rsidRPr="00272167">
        <w:rPr>
          <w:rFonts w:ascii="Times" w:hAnsi="Times"/>
          <w:b w:val="0"/>
          <w:color w:val="000000" w:themeColor="text1"/>
          <w:sz w:val="17"/>
          <w:szCs w:val="17"/>
        </w:rPr>
        <w:t>.</w:t>
      </w:r>
    </w:p>
    <w:p w14:paraId="79F5F4CB" w14:textId="77777777" w:rsidR="00C75D0C" w:rsidRDefault="00C75D0C" w:rsidP="00C75D0C">
      <w:pPr>
        <w:rPr>
          <w:rFonts w:ascii="Times" w:eastAsiaTheme="majorEastAsia" w:hAnsi="Times" w:cstheme="majorBidi"/>
          <w:b/>
          <w:bCs/>
          <w:color w:val="000000" w:themeColor="text1"/>
          <w:sz w:val="17"/>
          <w:szCs w:val="17"/>
          <w:lang w:eastAsia="ja-JP"/>
        </w:rPr>
      </w:pPr>
    </w:p>
    <w:p w14:paraId="6BBD0621" w14:textId="77777777" w:rsidR="00C75D0C" w:rsidRPr="00FB0757" w:rsidRDefault="00C75D0C" w:rsidP="00C75D0C">
      <w:pPr>
        <w:rPr>
          <w:rFonts w:ascii="Times" w:hAnsi="Times" w:cs="Times"/>
          <w:b/>
          <w:sz w:val="17"/>
          <w:szCs w:val="17"/>
        </w:rPr>
      </w:pPr>
      <w:r w:rsidRPr="00FB0757">
        <w:rPr>
          <w:rFonts w:ascii="Times" w:hAnsi="Times" w:cs="Times"/>
          <w:b/>
          <w:sz w:val="17"/>
          <w:szCs w:val="17"/>
        </w:rPr>
        <w:t>The parties agree to amend the Agreement</w:t>
      </w:r>
      <w:r>
        <w:rPr>
          <w:rFonts w:ascii="Times" w:hAnsi="Times" w:cs="Times"/>
          <w:b/>
          <w:sz w:val="17"/>
          <w:szCs w:val="17"/>
        </w:rPr>
        <w:t xml:space="preserve"> by adding the following stream(s) at the rates set forth below.</w:t>
      </w:r>
    </w:p>
    <w:p w14:paraId="4DA11FE4" w14:textId="77777777" w:rsidR="00C75D0C" w:rsidRDefault="00C75D0C" w:rsidP="00C75D0C">
      <w:pPr>
        <w:rPr>
          <w:rFonts w:ascii="Times" w:hAnsi="Times" w:cs="Times"/>
          <w:b/>
          <w:sz w:val="14"/>
          <w:szCs w:val="14"/>
        </w:rPr>
      </w:pPr>
    </w:p>
    <w:p w14:paraId="39514A11" w14:textId="77777777" w:rsidR="00C75D0C" w:rsidRDefault="00C75D0C" w:rsidP="00C75D0C">
      <w:pPr>
        <w:jc w:val="both"/>
        <w:rPr>
          <w:rFonts w:ascii="Times" w:hAnsi="Times" w:cs="Times"/>
          <w:b/>
          <w:sz w:val="14"/>
          <w:szCs w:val="14"/>
        </w:rPr>
      </w:pPr>
      <w:r>
        <w:rPr>
          <w:rFonts w:ascii="Times" w:hAnsi="Times" w:cs="Times"/>
          <w:b/>
          <w:sz w:val="14"/>
          <w:szCs w:val="14"/>
        </w:rPr>
        <w:t xml:space="preserve">Additional Services: </w:t>
      </w:r>
    </w:p>
    <w:p w14:paraId="7E9338A7" w14:textId="77777777" w:rsidR="00C75D0C" w:rsidRPr="00272167" w:rsidRDefault="00C75D0C" w:rsidP="00C75D0C">
      <w:pPr>
        <w:pStyle w:val="Heading2"/>
        <w:spacing w:after="60"/>
        <w:rPr>
          <w:rFonts w:ascii="Times" w:hAnsi="Times"/>
          <w:b w:val="0"/>
          <w:color w:val="000000" w:themeColor="text1"/>
          <w:sz w:val="17"/>
          <w:szCs w:val="17"/>
        </w:rPr>
      </w:pPr>
    </w:p>
    <w:p w14:paraId="70F14DA2" w14:textId="2BDE6A0C" w:rsidR="00C75D0C" w:rsidRDefault="00C75D0C" w:rsidP="00C75D0C">
      <w:pPr>
        <w:pStyle w:val="Heading2"/>
        <w:spacing w:after="60"/>
        <w:rPr>
          <w:rFonts w:ascii="Times" w:hAnsi="Times"/>
          <w:color w:val="000000" w:themeColor="text1"/>
          <w:sz w:val="17"/>
          <w:szCs w:val="17"/>
        </w:rPr>
      </w:pPr>
      <w:r>
        <w:rPr>
          <w:rFonts w:ascii="Times" w:hAnsi="Times"/>
          <w:color w:val="000000" w:themeColor="text1"/>
          <w:sz w:val="17"/>
          <w:szCs w:val="17"/>
        </w:rPr>
        <w:t xml:space="preserve">Customer: </w:t>
      </w:r>
      <w:r w:rsidR="003B4114">
        <w:rPr>
          <w:rFonts w:ascii="Times" w:hAnsi="Times"/>
          <w:color w:val="000000" w:themeColor="text1"/>
          <w:sz w:val="17"/>
          <w:szCs w:val="17"/>
        </w:rPr>
        <w:t>KCIA School</w:t>
      </w:r>
    </w:p>
    <w:p w14:paraId="743C4080" w14:textId="025C0B1A" w:rsidR="00C75D0C" w:rsidRPr="00E8747D" w:rsidRDefault="00C75D0C" w:rsidP="00C75D0C">
      <w:pPr>
        <w:pStyle w:val="Heading2"/>
        <w:spacing w:after="60"/>
        <w:rPr>
          <w:rFonts w:ascii="Times" w:hAnsi="Times"/>
          <w:b w:val="0"/>
          <w:color w:val="000000" w:themeColor="text1"/>
          <w:sz w:val="17"/>
          <w:szCs w:val="17"/>
        </w:rPr>
      </w:pPr>
      <w:r>
        <w:rPr>
          <w:rFonts w:ascii="Times" w:hAnsi="Times"/>
          <w:color w:val="000000" w:themeColor="text1"/>
          <w:sz w:val="17"/>
          <w:szCs w:val="17"/>
        </w:rPr>
        <w:t xml:space="preserve">Customer </w:t>
      </w:r>
      <w:r w:rsidRPr="005B6C8A">
        <w:rPr>
          <w:rFonts w:ascii="Times" w:hAnsi="Times"/>
          <w:color w:val="000000" w:themeColor="text1"/>
          <w:sz w:val="17"/>
          <w:szCs w:val="17"/>
        </w:rPr>
        <w:t>Location</w:t>
      </w:r>
      <w:r>
        <w:rPr>
          <w:rFonts w:ascii="Times" w:hAnsi="Times"/>
          <w:color w:val="000000" w:themeColor="text1"/>
          <w:sz w:val="17"/>
          <w:szCs w:val="17"/>
        </w:rPr>
        <w:t>(s</w:t>
      </w:r>
      <w:r w:rsidRPr="00EE7817">
        <w:rPr>
          <w:rFonts w:ascii="Times" w:hAnsi="Times"/>
          <w:color w:val="auto"/>
          <w:sz w:val="17"/>
          <w:szCs w:val="17"/>
        </w:rPr>
        <w:t xml:space="preserve">):  </w:t>
      </w:r>
      <w:r w:rsidR="003B4114">
        <w:rPr>
          <w:rFonts w:ascii="Times" w:eastAsia="Times New Roman" w:hAnsi="Times" w:cs="Times"/>
          <w:color w:val="auto"/>
          <w:sz w:val="17"/>
          <w:szCs w:val="17"/>
        </w:rPr>
        <w:t>414 Wallace Ave, KCMO, MO 64125</w:t>
      </w:r>
    </w:p>
    <w:p w14:paraId="46836A0F" w14:textId="4E964D3B" w:rsidR="00C75D0C" w:rsidRPr="005B6C8A" w:rsidRDefault="00C75D0C" w:rsidP="00C75D0C">
      <w:pPr>
        <w:pStyle w:val="Heading2"/>
        <w:spacing w:after="60"/>
        <w:rPr>
          <w:rFonts w:ascii="Times" w:hAnsi="Times"/>
          <w:color w:val="000000" w:themeColor="text1"/>
          <w:sz w:val="17"/>
          <w:szCs w:val="17"/>
        </w:rPr>
      </w:pPr>
      <w:bookmarkStart w:id="2" w:name="_Hlk45738036"/>
      <w:r>
        <w:rPr>
          <w:rFonts w:ascii="Times" w:hAnsi="Times"/>
          <w:color w:val="000000" w:themeColor="text1"/>
          <w:sz w:val="17"/>
          <w:szCs w:val="17"/>
        </w:rPr>
        <w:t xml:space="preserve">Addendum </w:t>
      </w:r>
      <w:bookmarkEnd w:id="2"/>
      <w:r w:rsidRPr="005B6C8A">
        <w:rPr>
          <w:rFonts w:ascii="Times" w:hAnsi="Times"/>
          <w:color w:val="000000" w:themeColor="text1"/>
          <w:sz w:val="17"/>
          <w:szCs w:val="17"/>
        </w:rPr>
        <w:t xml:space="preserve">Effective Date: </w:t>
      </w:r>
      <w:r w:rsidR="003B4114">
        <w:rPr>
          <w:rFonts w:ascii="Times" w:hAnsi="Times"/>
          <w:color w:val="000000" w:themeColor="text1"/>
          <w:sz w:val="17"/>
          <w:szCs w:val="17"/>
        </w:rPr>
        <w:t>3</w:t>
      </w:r>
      <w:r>
        <w:rPr>
          <w:rFonts w:ascii="Times" w:hAnsi="Times"/>
          <w:color w:val="000000" w:themeColor="text1"/>
          <w:sz w:val="17"/>
          <w:szCs w:val="17"/>
        </w:rPr>
        <w:t>/1/2023</w:t>
      </w:r>
    </w:p>
    <w:p w14:paraId="3A888928" w14:textId="77777777" w:rsidR="00C75D0C" w:rsidRDefault="00C75D0C" w:rsidP="00C75D0C">
      <w:pPr>
        <w:pStyle w:val="Heading3"/>
        <w:spacing w:before="60" w:after="60"/>
        <w:rPr>
          <w:rFonts w:ascii="Times" w:hAnsi="Times" w:cs="Times"/>
          <w:b w:val="0"/>
          <w:sz w:val="14"/>
          <w:szCs w:val="14"/>
        </w:rPr>
      </w:pPr>
      <w:r w:rsidRPr="005B6C8A">
        <w:rPr>
          <w:rFonts w:ascii="Times" w:hAnsi="Times"/>
          <w:color w:val="F2F2F2" w:themeColor="background1" w:themeShade="F2"/>
          <w:sz w:val="17"/>
          <w:szCs w:val="17"/>
        </w:rPr>
        <w:t>Scope of Services</w:t>
      </w:r>
      <w:r>
        <w:rPr>
          <w:rFonts w:ascii="Times" w:hAnsi="Times" w:cs="Times"/>
          <w:sz w:val="14"/>
          <w:szCs w:val="14"/>
        </w:rPr>
        <w:t xml:space="preserve"> </w:t>
      </w:r>
    </w:p>
    <w:p w14:paraId="230296DB" w14:textId="77777777" w:rsidR="00C75D0C" w:rsidRDefault="00C75D0C" w:rsidP="00C75D0C">
      <w:pPr>
        <w:jc w:val="both"/>
        <w:rPr>
          <w:rFonts w:ascii="Times" w:hAnsi="Times" w:cs="Times"/>
          <w:b/>
          <w:sz w:val="14"/>
          <w:szCs w:val="14"/>
        </w:rPr>
      </w:pPr>
    </w:p>
    <w:p w14:paraId="35620270" w14:textId="77777777" w:rsidR="00C75D0C" w:rsidRDefault="00C75D0C" w:rsidP="00C75D0C">
      <w:pPr>
        <w:jc w:val="both"/>
        <w:rPr>
          <w:rFonts w:ascii="Times" w:hAnsi="Times" w:cs="Times"/>
          <w:b/>
          <w:sz w:val="14"/>
          <w:szCs w:val="14"/>
        </w:rPr>
      </w:pPr>
      <w:r>
        <w:rPr>
          <w:rFonts w:ascii="Times" w:hAnsi="Times" w:cs="Times"/>
          <w:b/>
          <w:sz w:val="14"/>
          <w:szCs w:val="14"/>
        </w:rPr>
        <w:t>MSW</w:t>
      </w:r>
    </w:p>
    <w:p w14:paraId="0C0442FB" w14:textId="77777777" w:rsidR="00C75D0C" w:rsidRPr="00F640C6" w:rsidRDefault="00C75D0C" w:rsidP="00C75D0C">
      <w:pPr>
        <w:jc w:val="both"/>
        <w:rPr>
          <w:rFonts w:ascii="Times" w:hAnsi="Times" w:cs="Times"/>
          <w:b/>
          <w:sz w:val="14"/>
          <w:szCs w:val="14"/>
          <w:u w:val="single"/>
        </w:rPr>
      </w:pPr>
    </w:p>
    <w:tbl>
      <w:tblPr>
        <w:tblW w:w="9258" w:type="dxa"/>
        <w:tblLook w:val="04A0" w:firstRow="1" w:lastRow="0" w:firstColumn="1" w:lastColumn="0" w:noHBand="0" w:noVBand="1"/>
      </w:tblPr>
      <w:tblGrid>
        <w:gridCol w:w="3265"/>
        <w:gridCol w:w="3275"/>
        <w:gridCol w:w="1455"/>
        <w:gridCol w:w="1263"/>
      </w:tblGrid>
      <w:tr w:rsidR="003B4114" w:rsidRPr="00870069" w14:paraId="593F4915" w14:textId="332E2B06" w:rsidTr="003B4114">
        <w:trPr>
          <w:trHeight w:val="229"/>
        </w:trPr>
        <w:tc>
          <w:tcPr>
            <w:tcW w:w="3265"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noWrap/>
            <w:vAlign w:val="bottom"/>
            <w:hideMark/>
          </w:tcPr>
          <w:p w14:paraId="1A8A44D1" w14:textId="77777777" w:rsidR="003B4114" w:rsidRPr="00870069" w:rsidRDefault="003B4114" w:rsidP="00655F0F">
            <w:pPr>
              <w:spacing w:after="60"/>
              <w:jc w:val="center"/>
              <w:rPr>
                <w:rFonts w:ascii="Times" w:eastAsia="Times New Roman" w:hAnsi="Times" w:cs="Times"/>
                <w:b/>
                <w:bCs/>
                <w:sz w:val="14"/>
                <w:szCs w:val="14"/>
              </w:rPr>
            </w:pPr>
            <w:r w:rsidRPr="00870069">
              <w:rPr>
                <w:rFonts w:ascii="Times" w:eastAsia="Times New Roman" w:hAnsi="Times" w:cs="Times"/>
                <w:b/>
                <w:bCs/>
                <w:sz w:val="14"/>
                <w:szCs w:val="14"/>
              </w:rPr>
              <w:t>Address</w:t>
            </w:r>
          </w:p>
        </w:tc>
        <w:tc>
          <w:tcPr>
            <w:tcW w:w="3275" w:type="dxa"/>
            <w:tcBorders>
              <w:top w:val="single" w:sz="12" w:space="0" w:color="auto"/>
              <w:left w:val="single" w:sz="12" w:space="0" w:color="auto"/>
              <w:bottom w:val="single" w:sz="12" w:space="0" w:color="auto"/>
              <w:right w:val="single" w:sz="8" w:space="0" w:color="auto"/>
            </w:tcBorders>
            <w:shd w:val="clear" w:color="auto" w:fill="AEAAAA" w:themeFill="background2" w:themeFillShade="BF"/>
            <w:noWrap/>
            <w:vAlign w:val="bottom"/>
            <w:hideMark/>
          </w:tcPr>
          <w:p w14:paraId="457ED127" w14:textId="77777777" w:rsidR="003B4114" w:rsidRPr="00870069" w:rsidRDefault="003B4114" w:rsidP="00655F0F">
            <w:pPr>
              <w:spacing w:after="60"/>
              <w:jc w:val="center"/>
              <w:rPr>
                <w:rFonts w:ascii="Times" w:eastAsia="Times New Roman" w:hAnsi="Times" w:cs="Times"/>
                <w:b/>
                <w:bCs/>
                <w:sz w:val="14"/>
                <w:szCs w:val="14"/>
              </w:rPr>
            </w:pPr>
            <w:r w:rsidRPr="00870069">
              <w:rPr>
                <w:rFonts w:ascii="Times" w:eastAsia="Times New Roman" w:hAnsi="Times" w:cs="Times"/>
                <w:b/>
                <w:bCs/>
                <w:sz w:val="14"/>
                <w:szCs w:val="14"/>
              </w:rPr>
              <w:t>Service</w:t>
            </w:r>
          </w:p>
        </w:tc>
        <w:tc>
          <w:tcPr>
            <w:tcW w:w="1455" w:type="dxa"/>
            <w:tcBorders>
              <w:top w:val="single" w:sz="12" w:space="0" w:color="auto"/>
              <w:left w:val="nil"/>
              <w:bottom w:val="single" w:sz="12" w:space="0" w:color="auto"/>
              <w:right w:val="single" w:sz="12" w:space="0" w:color="auto"/>
            </w:tcBorders>
            <w:shd w:val="clear" w:color="auto" w:fill="AEAAAA" w:themeFill="background2" w:themeFillShade="BF"/>
            <w:noWrap/>
            <w:vAlign w:val="bottom"/>
            <w:hideMark/>
          </w:tcPr>
          <w:p w14:paraId="2D2AAD18" w14:textId="5C125373" w:rsidR="003B4114" w:rsidRPr="00870069" w:rsidRDefault="003B4114" w:rsidP="00655F0F">
            <w:pPr>
              <w:spacing w:before="60" w:after="60"/>
              <w:jc w:val="center"/>
              <w:rPr>
                <w:rFonts w:ascii="Times" w:eastAsia="Times New Roman" w:hAnsi="Times" w:cs="Times"/>
                <w:b/>
                <w:bCs/>
                <w:sz w:val="14"/>
                <w:szCs w:val="14"/>
              </w:rPr>
            </w:pPr>
            <w:r>
              <w:rPr>
                <w:rFonts w:ascii="Times" w:eastAsia="Times New Roman" w:hAnsi="Times" w:cs="Times"/>
                <w:b/>
                <w:bCs/>
                <w:sz w:val="14"/>
                <w:szCs w:val="14"/>
              </w:rPr>
              <w:t>Pre-</w:t>
            </w:r>
            <w:r>
              <w:rPr>
                <w:rFonts w:ascii="Times" w:eastAsia="Times New Roman" w:hAnsi="Times" w:cs="Times"/>
                <w:b/>
                <w:bCs/>
                <w:sz w:val="14"/>
                <w:szCs w:val="14"/>
              </w:rPr>
              <w:t>RR Rate</w:t>
            </w:r>
          </w:p>
        </w:tc>
        <w:tc>
          <w:tcPr>
            <w:tcW w:w="1263" w:type="dxa"/>
            <w:tcBorders>
              <w:top w:val="single" w:sz="12" w:space="0" w:color="auto"/>
              <w:left w:val="nil"/>
              <w:bottom w:val="single" w:sz="12" w:space="0" w:color="auto"/>
              <w:right w:val="single" w:sz="12" w:space="0" w:color="auto"/>
            </w:tcBorders>
            <w:shd w:val="clear" w:color="auto" w:fill="AEAAAA" w:themeFill="background2" w:themeFillShade="BF"/>
          </w:tcPr>
          <w:p w14:paraId="0D35605F" w14:textId="300439D6" w:rsidR="003B4114" w:rsidRDefault="003B4114" w:rsidP="00655F0F">
            <w:pPr>
              <w:spacing w:before="60" w:after="60"/>
              <w:jc w:val="center"/>
              <w:rPr>
                <w:rFonts w:ascii="Times" w:eastAsia="Times New Roman" w:hAnsi="Times" w:cs="Times"/>
                <w:b/>
                <w:bCs/>
                <w:sz w:val="14"/>
                <w:szCs w:val="14"/>
              </w:rPr>
            </w:pPr>
            <w:r>
              <w:rPr>
                <w:rFonts w:ascii="Times" w:eastAsia="Times New Roman" w:hAnsi="Times" w:cs="Times"/>
                <w:b/>
                <w:bCs/>
                <w:sz w:val="14"/>
                <w:szCs w:val="14"/>
              </w:rPr>
              <w:t>RR Rate</w:t>
            </w:r>
          </w:p>
        </w:tc>
      </w:tr>
      <w:tr w:rsidR="003B4114" w:rsidRPr="00870069" w14:paraId="3B0BC445" w14:textId="53BED229" w:rsidTr="003B4114">
        <w:trPr>
          <w:trHeight w:val="229"/>
        </w:trPr>
        <w:tc>
          <w:tcPr>
            <w:tcW w:w="3265"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6BE3A2E3" w14:textId="76E601CE" w:rsidR="003B4114" w:rsidRPr="003B4114" w:rsidRDefault="003B4114" w:rsidP="00655F0F">
            <w:pPr>
              <w:jc w:val="center"/>
              <w:rPr>
                <w:rFonts w:ascii="Times" w:eastAsia="Times New Roman" w:hAnsi="Times" w:cs="Times"/>
                <w:sz w:val="14"/>
                <w:szCs w:val="14"/>
              </w:rPr>
            </w:pPr>
            <w:r w:rsidRPr="003B4114">
              <w:rPr>
                <w:rFonts w:ascii="Times" w:eastAsia="Times New Roman" w:hAnsi="Times" w:cs="Times"/>
                <w:sz w:val="14"/>
                <w:szCs w:val="14"/>
              </w:rPr>
              <w:t>414 Wallace Ave, KCMO, MO 64125</w:t>
            </w:r>
          </w:p>
        </w:tc>
        <w:tc>
          <w:tcPr>
            <w:tcW w:w="3275"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16ECCCC3" w14:textId="67395480" w:rsidR="003B4114" w:rsidRPr="00870069" w:rsidRDefault="003B4114" w:rsidP="00655F0F">
            <w:pPr>
              <w:jc w:val="center"/>
              <w:rPr>
                <w:rFonts w:ascii="Times" w:eastAsia="Times New Roman" w:hAnsi="Times" w:cs="Times"/>
                <w:sz w:val="14"/>
                <w:szCs w:val="14"/>
              </w:rPr>
            </w:pPr>
            <w:r>
              <w:rPr>
                <w:rFonts w:ascii="Times" w:eastAsia="Times New Roman" w:hAnsi="Times" w:cs="Times"/>
                <w:sz w:val="14"/>
                <w:szCs w:val="14"/>
              </w:rPr>
              <w:t xml:space="preserve">1 – </w:t>
            </w:r>
            <w:r>
              <w:rPr>
                <w:rFonts w:ascii="Times" w:eastAsia="Times New Roman" w:hAnsi="Times" w:cs="Times"/>
                <w:sz w:val="14"/>
                <w:szCs w:val="14"/>
              </w:rPr>
              <w:t>8yd FL SSRY – serviced 2x/week</w:t>
            </w:r>
          </w:p>
        </w:tc>
        <w:tc>
          <w:tcPr>
            <w:tcW w:w="1455"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157816B4" w14:textId="34A3741B" w:rsidR="003B4114" w:rsidRPr="00870069" w:rsidRDefault="003B4114" w:rsidP="00655F0F">
            <w:pPr>
              <w:jc w:val="center"/>
              <w:rPr>
                <w:rFonts w:ascii="Times" w:eastAsia="Times New Roman" w:hAnsi="Times" w:cs="Times"/>
                <w:sz w:val="14"/>
                <w:szCs w:val="14"/>
              </w:rPr>
            </w:pPr>
            <w:r>
              <w:rPr>
                <w:rFonts w:ascii="Times" w:eastAsia="Times New Roman" w:hAnsi="Times" w:cs="Times"/>
                <w:sz w:val="14"/>
                <w:szCs w:val="14"/>
              </w:rPr>
              <w:t>$</w:t>
            </w:r>
            <w:r>
              <w:rPr>
                <w:rFonts w:ascii="Times" w:eastAsia="Times New Roman" w:hAnsi="Times" w:cs="Times"/>
                <w:sz w:val="14"/>
                <w:szCs w:val="14"/>
              </w:rPr>
              <w:t>1,426.98</w:t>
            </w:r>
            <w:r>
              <w:rPr>
                <w:rFonts w:ascii="Times" w:eastAsia="Times New Roman" w:hAnsi="Times" w:cs="Times"/>
                <w:sz w:val="14"/>
                <w:szCs w:val="14"/>
              </w:rPr>
              <w:t>/month</w:t>
            </w:r>
          </w:p>
        </w:tc>
        <w:tc>
          <w:tcPr>
            <w:tcW w:w="1263" w:type="dxa"/>
            <w:tcBorders>
              <w:top w:val="single" w:sz="12" w:space="0" w:color="auto"/>
              <w:left w:val="single" w:sz="12" w:space="0" w:color="auto"/>
              <w:bottom w:val="single" w:sz="12" w:space="0" w:color="auto"/>
              <w:right w:val="single" w:sz="12" w:space="0" w:color="auto"/>
            </w:tcBorders>
          </w:tcPr>
          <w:p w14:paraId="5A914AD5" w14:textId="0F372329" w:rsidR="003B4114" w:rsidRDefault="003B4114" w:rsidP="00655F0F">
            <w:pPr>
              <w:jc w:val="center"/>
              <w:rPr>
                <w:rFonts w:ascii="Times" w:eastAsia="Times New Roman" w:hAnsi="Times" w:cs="Times"/>
                <w:sz w:val="14"/>
                <w:szCs w:val="14"/>
              </w:rPr>
            </w:pPr>
            <w:r>
              <w:rPr>
                <w:rFonts w:ascii="Times" w:eastAsia="Times New Roman" w:hAnsi="Times" w:cs="Times"/>
                <w:sz w:val="14"/>
                <w:szCs w:val="14"/>
              </w:rPr>
              <w:t>$1,170.12/month</w:t>
            </w:r>
          </w:p>
        </w:tc>
      </w:tr>
      <w:tr w:rsidR="003B4114" w:rsidRPr="00870069" w14:paraId="7CD7C675" w14:textId="12F0A25A" w:rsidTr="003B4114">
        <w:trPr>
          <w:trHeight w:val="229"/>
        </w:trPr>
        <w:tc>
          <w:tcPr>
            <w:tcW w:w="3265"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2F9A5DEA" w14:textId="43B668D7" w:rsidR="003B4114" w:rsidRPr="003B4114" w:rsidRDefault="003B4114" w:rsidP="00655F0F">
            <w:pPr>
              <w:jc w:val="center"/>
              <w:rPr>
                <w:rFonts w:ascii="Times" w:eastAsia="Times New Roman" w:hAnsi="Times" w:cs="Times"/>
                <w:sz w:val="14"/>
                <w:szCs w:val="14"/>
              </w:rPr>
            </w:pPr>
            <w:r w:rsidRPr="003B4114">
              <w:rPr>
                <w:rFonts w:ascii="Times" w:eastAsia="Times New Roman" w:hAnsi="Times" w:cs="Times"/>
                <w:sz w:val="14"/>
                <w:szCs w:val="14"/>
              </w:rPr>
              <w:t>414 Wallace Ave, KCMO, MO 64125</w:t>
            </w:r>
          </w:p>
        </w:tc>
        <w:tc>
          <w:tcPr>
            <w:tcW w:w="3275"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50119BB8" w14:textId="1C8AD73F" w:rsidR="003B4114" w:rsidRDefault="003B4114" w:rsidP="00655F0F">
            <w:pPr>
              <w:jc w:val="center"/>
              <w:rPr>
                <w:rFonts w:ascii="Times" w:eastAsia="Times New Roman" w:hAnsi="Times" w:cs="Times"/>
                <w:sz w:val="14"/>
                <w:szCs w:val="14"/>
              </w:rPr>
            </w:pPr>
            <w:r>
              <w:rPr>
                <w:rFonts w:ascii="Times" w:eastAsia="Times New Roman" w:hAnsi="Times" w:cs="Times"/>
                <w:sz w:val="14"/>
                <w:szCs w:val="14"/>
              </w:rPr>
              <w:t xml:space="preserve">1 – 8yd FL </w:t>
            </w:r>
            <w:r>
              <w:rPr>
                <w:rFonts w:ascii="Times" w:eastAsia="Times New Roman" w:hAnsi="Times" w:cs="Times"/>
                <w:sz w:val="14"/>
                <w:szCs w:val="14"/>
              </w:rPr>
              <w:t>MSW</w:t>
            </w:r>
            <w:r>
              <w:rPr>
                <w:rFonts w:ascii="Times" w:eastAsia="Times New Roman" w:hAnsi="Times" w:cs="Times"/>
                <w:sz w:val="14"/>
                <w:szCs w:val="14"/>
              </w:rPr>
              <w:t xml:space="preserve"> – serviced </w:t>
            </w:r>
            <w:r>
              <w:rPr>
                <w:rFonts w:ascii="Times" w:eastAsia="Times New Roman" w:hAnsi="Times" w:cs="Times"/>
                <w:sz w:val="14"/>
                <w:szCs w:val="14"/>
              </w:rPr>
              <w:t>5</w:t>
            </w:r>
            <w:r>
              <w:rPr>
                <w:rFonts w:ascii="Times" w:eastAsia="Times New Roman" w:hAnsi="Times" w:cs="Times"/>
                <w:sz w:val="14"/>
                <w:szCs w:val="14"/>
              </w:rPr>
              <w:t>x/week</w:t>
            </w:r>
          </w:p>
        </w:tc>
        <w:tc>
          <w:tcPr>
            <w:tcW w:w="1455"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4E8FC725" w14:textId="6AC5ABFF" w:rsidR="003B4114" w:rsidRDefault="003B4114" w:rsidP="00655F0F">
            <w:pPr>
              <w:jc w:val="center"/>
              <w:rPr>
                <w:rFonts w:ascii="Times" w:eastAsia="Times New Roman" w:hAnsi="Times" w:cs="Times"/>
                <w:sz w:val="14"/>
                <w:szCs w:val="14"/>
              </w:rPr>
            </w:pPr>
            <w:r>
              <w:rPr>
                <w:rFonts w:ascii="Times" w:eastAsia="Times New Roman" w:hAnsi="Times" w:cs="Times"/>
                <w:sz w:val="14"/>
                <w:szCs w:val="14"/>
              </w:rPr>
              <w:t>$390.87/month</w:t>
            </w:r>
          </w:p>
        </w:tc>
        <w:tc>
          <w:tcPr>
            <w:tcW w:w="1263" w:type="dxa"/>
            <w:tcBorders>
              <w:top w:val="single" w:sz="12" w:space="0" w:color="auto"/>
              <w:left w:val="single" w:sz="12" w:space="0" w:color="auto"/>
              <w:bottom w:val="single" w:sz="12" w:space="0" w:color="auto"/>
              <w:right w:val="single" w:sz="12" w:space="0" w:color="auto"/>
            </w:tcBorders>
          </w:tcPr>
          <w:p w14:paraId="3491096C" w14:textId="59333B20" w:rsidR="003B4114" w:rsidRDefault="003B4114" w:rsidP="00655F0F">
            <w:pPr>
              <w:jc w:val="center"/>
              <w:rPr>
                <w:rFonts w:ascii="Times" w:eastAsia="Times New Roman" w:hAnsi="Times" w:cs="Times"/>
                <w:sz w:val="14"/>
                <w:szCs w:val="14"/>
              </w:rPr>
            </w:pPr>
            <w:r>
              <w:rPr>
                <w:rFonts w:ascii="Times" w:eastAsia="Times New Roman" w:hAnsi="Times" w:cs="Times"/>
                <w:sz w:val="14"/>
                <w:szCs w:val="14"/>
              </w:rPr>
              <w:t>$320.51/month</w:t>
            </w:r>
          </w:p>
        </w:tc>
      </w:tr>
    </w:tbl>
    <w:p w14:paraId="4D754C7A" w14:textId="77777777" w:rsidR="00C75D0C" w:rsidRDefault="00C75D0C" w:rsidP="00C75D0C">
      <w:pPr>
        <w:jc w:val="both"/>
        <w:rPr>
          <w:rFonts w:ascii="Times" w:hAnsi="Times" w:cs="Times"/>
          <w:b/>
          <w:sz w:val="14"/>
          <w:szCs w:val="14"/>
          <w:u w:val="single"/>
        </w:rPr>
      </w:pPr>
    </w:p>
    <w:p w14:paraId="2803D41D" w14:textId="77777777" w:rsidR="00C75D0C" w:rsidRDefault="00C75D0C" w:rsidP="00C75D0C">
      <w:pPr>
        <w:rPr>
          <w:rFonts w:ascii="Times" w:eastAsiaTheme="majorEastAsia" w:hAnsi="Times" w:cstheme="majorBidi"/>
          <w:b/>
          <w:bCs/>
          <w:color w:val="000000" w:themeColor="text1"/>
          <w:sz w:val="17"/>
          <w:szCs w:val="17"/>
          <w:lang w:eastAsia="ja-JP"/>
        </w:rPr>
      </w:pPr>
    </w:p>
    <w:p w14:paraId="35ED36AD" w14:textId="77777777" w:rsidR="00C75D0C" w:rsidRDefault="00C75D0C" w:rsidP="00C75D0C">
      <w:pPr>
        <w:rPr>
          <w:rFonts w:ascii="Times" w:eastAsiaTheme="majorEastAsia" w:hAnsi="Times" w:cstheme="majorBidi"/>
          <w:b/>
          <w:bCs/>
          <w:color w:val="000000" w:themeColor="text1"/>
          <w:sz w:val="17"/>
          <w:szCs w:val="17"/>
          <w:lang w:eastAsia="ja-JP"/>
        </w:rPr>
      </w:pPr>
    </w:p>
    <w:p w14:paraId="68575207" w14:textId="77777777" w:rsidR="00C75D0C" w:rsidRDefault="00C75D0C" w:rsidP="00C75D0C">
      <w:pPr>
        <w:rPr>
          <w:rFonts w:ascii="Times" w:eastAsiaTheme="majorEastAsia" w:hAnsi="Times" w:cstheme="majorBidi"/>
          <w:b/>
          <w:bCs/>
          <w:color w:val="000000" w:themeColor="text1"/>
          <w:sz w:val="17"/>
          <w:szCs w:val="17"/>
          <w:lang w:eastAsia="ja-JP"/>
        </w:rPr>
      </w:pPr>
      <w:r>
        <w:rPr>
          <w:rFonts w:ascii="Times" w:eastAsiaTheme="majorEastAsia" w:hAnsi="Times" w:cstheme="majorBidi"/>
          <w:b/>
          <w:bCs/>
          <w:color w:val="000000" w:themeColor="text1"/>
          <w:sz w:val="17"/>
          <w:szCs w:val="17"/>
          <w:lang w:eastAsia="ja-JP"/>
        </w:rPr>
        <w:t xml:space="preserve">The </w:t>
      </w:r>
      <w:r w:rsidRPr="005B6C8A">
        <w:rPr>
          <w:rFonts w:ascii="Times" w:eastAsiaTheme="majorEastAsia" w:hAnsi="Times" w:cstheme="majorBidi"/>
          <w:b/>
          <w:bCs/>
          <w:color w:val="000000" w:themeColor="text1"/>
          <w:sz w:val="17"/>
          <w:szCs w:val="17"/>
          <w:lang w:eastAsia="ja-JP"/>
        </w:rPr>
        <w:t xml:space="preserve">Company and Customer intend </w:t>
      </w:r>
      <w:r>
        <w:rPr>
          <w:rFonts w:ascii="Times" w:eastAsiaTheme="majorEastAsia" w:hAnsi="Times" w:cstheme="majorBidi"/>
          <w:b/>
          <w:bCs/>
          <w:color w:val="000000" w:themeColor="text1"/>
          <w:sz w:val="17"/>
          <w:szCs w:val="17"/>
          <w:lang w:eastAsia="ja-JP"/>
        </w:rPr>
        <w:t xml:space="preserve">for (i) </w:t>
      </w:r>
      <w:r w:rsidRPr="005B6C8A">
        <w:rPr>
          <w:rFonts w:ascii="Times" w:eastAsiaTheme="majorEastAsia" w:hAnsi="Times" w:cstheme="majorBidi"/>
          <w:b/>
          <w:bCs/>
          <w:color w:val="000000" w:themeColor="text1"/>
          <w:sz w:val="17"/>
          <w:szCs w:val="17"/>
          <w:lang w:eastAsia="ja-JP"/>
        </w:rPr>
        <w:t xml:space="preserve">these terms to </w:t>
      </w:r>
      <w:r>
        <w:rPr>
          <w:rFonts w:ascii="Times" w:eastAsiaTheme="majorEastAsia" w:hAnsi="Times" w:cstheme="majorBidi"/>
          <w:b/>
          <w:bCs/>
          <w:color w:val="000000" w:themeColor="text1"/>
          <w:sz w:val="17"/>
          <w:szCs w:val="17"/>
          <w:lang w:eastAsia="ja-JP"/>
        </w:rPr>
        <w:t xml:space="preserve">further supplement (and not replace) </w:t>
      </w:r>
      <w:r w:rsidRPr="005B6C8A">
        <w:rPr>
          <w:rFonts w:ascii="Times" w:eastAsiaTheme="majorEastAsia" w:hAnsi="Times" w:cstheme="majorBidi"/>
          <w:b/>
          <w:bCs/>
          <w:color w:val="000000" w:themeColor="text1"/>
          <w:sz w:val="17"/>
          <w:szCs w:val="17"/>
          <w:lang w:eastAsia="ja-JP"/>
        </w:rPr>
        <w:t xml:space="preserve">those </w:t>
      </w:r>
      <w:r>
        <w:rPr>
          <w:rFonts w:ascii="Times" w:eastAsiaTheme="majorEastAsia" w:hAnsi="Times" w:cstheme="majorBidi"/>
          <w:b/>
          <w:bCs/>
          <w:color w:val="000000" w:themeColor="text1"/>
          <w:sz w:val="17"/>
          <w:szCs w:val="17"/>
          <w:lang w:eastAsia="ja-JP"/>
        </w:rPr>
        <w:t>terms set forth</w:t>
      </w:r>
      <w:r w:rsidRPr="005B6C8A">
        <w:rPr>
          <w:rFonts w:ascii="Times" w:eastAsiaTheme="majorEastAsia" w:hAnsi="Times" w:cstheme="majorBidi"/>
          <w:b/>
          <w:bCs/>
          <w:color w:val="000000" w:themeColor="text1"/>
          <w:sz w:val="17"/>
          <w:szCs w:val="17"/>
          <w:lang w:eastAsia="ja-JP"/>
        </w:rPr>
        <w:t xml:space="preserve"> in Agreement</w:t>
      </w:r>
      <w:r>
        <w:rPr>
          <w:rFonts w:ascii="Times" w:eastAsiaTheme="majorEastAsia" w:hAnsi="Times" w:cstheme="majorBidi"/>
          <w:b/>
          <w:bCs/>
          <w:color w:val="000000" w:themeColor="text1"/>
          <w:sz w:val="17"/>
          <w:szCs w:val="17"/>
          <w:lang w:eastAsia="ja-JP"/>
        </w:rPr>
        <w:t xml:space="preserve"> as to the locations set forth above and (ii) all other </w:t>
      </w:r>
      <w:r w:rsidRPr="008B6D79">
        <w:rPr>
          <w:rFonts w:ascii="Times" w:eastAsiaTheme="majorEastAsia" w:hAnsi="Times" w:cstheme="majorBidi"/>
          <w:b/>
          <w:bCs/>
          <w:color w:val="000000" w:themeColor="text1"/>
          <w:sz w:val="17"/>
          <w:szCs w:val="17"/>
          <w:lang w:eastAsia="ja-JP"/>
        </w:rPr>
        <w:t xml:space="preserve">terms and conditions of the Agreement </w:t>
      </w:r>
      <w:r>
        <w:rPr>
          <w:rFonts w:ascii="Times" w:eastAsiaTheme="majorEastAsia" w:hAnsi="Times" w:cstheme="majorBidi"/>
          <w:b/>
          <w:bCs/>
          <w:color w:val="000000" w:themeColor="text1"/>
          <w:sz w:val="17"/>
          <w:szCs w:val="17"/>
          <w:lang w:eastAsia="ja-JP"/>
        </w:rPr>
        <w:t>to</w:t>
      </w:r>
      <w:r w:rsidRPr="008B6D79">
        <w:rPr>
          <w:rFonts w:ascii="Times" w:eastAsiaTheme="majorEastAsia" w:hAnsi="Times" w:cstheme="majorBidi"/>
          <w:b/>
          <w:bCs/>
          <w:color w:val="000000" w:themeColor="text1"/>
          <w:sz w:val="17"/>
          <w:szCs w:val="17"/>
          <w:lang w:eastAsia="ja-JP"/>
        </w:rPr>
        <w:t xml:space="preserve"> continue in full force and effect</w:t>
      </w:r>
      <w:r w:rsidRPr="00BA4F13">
        <w:rPr>
          <w:rFonts w:ascii="Times" w:eastAsiaTheme="majorEastAsia" w:hAnsi="Times" w:cstheme="majorBidi"/>
          <w:b/>
          <w:bCs/>
          <w:color w:val="000000" w:themeColor="text1"/>
          <w:sz w:val="17"/>
          <w:szCs w:val="17"/>
          <w:lang w:eastAsia="ja-JP"/>
        </w:rPr>
        <w:t xml:space="preserve">. Except as expressly set forth herein, this Addendum shall not by implication or otherwise alter, modify, amend or in any way affect any of the terms, conditions, obligations, covenants or agreements </w:t>
      </w:r>
      <w:r>
        <w:rPr>
          <w:rFonts w:ascii="Times" w:eastAsiaTheme="majorEastAsia" w:hAnsi="Times" w:cstheme="majorBidi"/>
          <w:b/>
          <w:bCs/>
          <w:color w:val="000000" w:themeColor="text1"/>
          <w:sz w:val="17"/>
          <w:szCs w:val="17"/>
          <w:lang w:eastAsia="ja-JP"/>
        </w:rPr>
        <w:t>(verbal or in writing) between the parties</w:t>
      </w:r>
      <w:r w:rsidRPr="00BA4F13">
        <w:rPr>
          <w:rFonts w:ascii="Times" w:eastAsiaTheme="majorEastAsia" w:hAnsi="Times" w:cstheme="majorBidi"/>
          <w:b/>
          <w:bCs/>
          <w:color w:val="000000" w:themeColor="text1"/>
          <w:sz w:val="17"/>
          <w:szCs w:val="17"/>
          <w:lang w:eastAsia="ja-JP"/>
        </w:rPr>
        <w:t xml:space="preserve">, all of which are ratified and affirmed in all respects and shall continue in full force and effect. </w:t>
      </w:r>
    </w:p>
    <w:p w14:paraId="78F2C5CF" w14:textId="77777777" w:rsidR="00C75D0C" w:rsidRDefault="00C75D0C" w:rsidP="00C75D0C">
      <w:pPr>
        <w:rPr>
          <w:rFonts w:ascii="Times" w:eastAsiaTheme="majorEastAsia" w:hAnsi="Times" w:cstheme="majorBidi"/>
          <w:b/>
          <w:bCs/>
          <w:color w:val="000000" w:themeColor="text1"/>
          <w:sz w:val="17"/>
          <w:szCs w:val="17"/>
          <w:lang w:eastAsia="ja-JP"/>
        </w:rPr>
      </w:pPr>
    </w:p>
    <w:p w14:paraId="149B8C4A" w14:textId="77777777" w:rsidR="00C75D0C" w:rsidRDefault="00C75D0C" w:rsidP="00C75D0C">
      <w:pPr>
        <w:rPr>
          <w:rFonts w:ascii="Times" w:eastAsiaTheme="majorEastAsia" w:hAnsi="Times" w:cstheme="majorBidi"/>
          <w:b/>
          <w:bCs/>
          <w:color w:val="000000" w:themeColor="text1"/>
          <w:sz w:val="17"/>
          <w:szCs w:val="17"/>
          <w:lang w:eastAsia="ja-JP"/>
        </w:rPr>
      </w:pPr>
    </w:p>
    <w:p w14:paraId="2E61B08D" w14:textId="77777777" w:rsidR="00C75D0C" w:rsidRDefault="00C75D0C" w:rsidP="00C75D0C">
      <w:pPr>
        <w:rPr>
          <w:rFonts w:ascii="Times" w:eastAsiaTheme="majorEastAsia" w:hAnsi="Times" w:cstheme="majorBidi"/>
          <w:b/>
          <w:bCs/>
          <w:color w:val="000000" w:themeColor="text1"/>
          <w:sz w:val="17"/>
          <w:szCs w:val="17"/>
          <w:lang w:eastAsia="ja-JP"/>
        </w:rPr>
      </w:pPr>
    </w:p>
    <w:bookmarkEnd w:id="0"/>
    <w:p w14:paraId="74BED781" w14:textId="77777777" w:rsidR="00C75D0C" w:rsidRDefault="00C75D0C" w:rsidP="00C75D0C"/>
    <w:p w14:paraId="585E583D" w14:textId="77777777" w:rsidR="00C75D0C" w:rsidRDefault="00C75D0C" w:rsidP="00C75D0C"/>
    <w:p w14:paraId="366BF70D" w14:textId="77777777" w:rsidR="00C75D0C" w:rsidRDefault="00C75D0C" w:rsidP="00C75D0C"/>
    <w:p w14:paraId="2F54A694" w14:textId="77777777" w:rsidR="00C75D0C" w:rsidRDefault="00C75D0C"/>
    <w:sectPr w:rsidR="00C75D0C" w:rsidSect="00E26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0C"/>
    <w:rsid w:val="003B4114"/>
    <w:rsid w:val="00C75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2A23"/>
  <w15:chartTrackingRefBased/>
  <w15:docId w15:val="{B73657C4-91E5-4BCE-BD79-B78A7043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D0C"/>
    <w:pPr>
      <w:spacing w:after="0" w:line="240" w:lineRule="auto"/>
    </w:pPr>
    <w:rPr>
      <w:sz w:val="24"/>
      <w:szCs w:val="24"/>
    </w:rPr>
  </w:style>
  <w:style w:type="paragraph" w:styleId="Heading2">
    <w:name w:val="heading 2"/>
    <w:basedOn w:val="Normal"/>
    <w:next w:val="Normal"/>
    <w:link w:val="Heading2Char"/>
    <w:unhideWhenUsed/>
    <w:qFormat/>
    <w:rsid w:val="00C75D0C"/>
    <w:pPr>
      <w:spacing w:after="240" w:line="276" w:lineRule="auto"/>
      <w:ind w:left="72" w:right="72"/>
      <w:outlineLvl w:val="1"/>
    </w:pPr>
    <w:rPr>
      <w:rFonts w:asciiTheme="majorHAnsi" w:eastAsiaTheme="majorEastAsia" w:hAnsiTheme="majorHAnsi" w:cstheme="majorBidi"/>
      <w:b/>
      <w:bCs/>
      <w:color w:val="7F7F7F" w:themeColor="text1" w:themeTint="80"/>
      <w:sz w:val="28"/>
      <w:szCs w:val="28"/>
      <w:lang w:eastAsia="ja-JP"/>
    </w:rPr>
  </w:style>
  <w:style w:type="paragraph" w:styleId="Heading3">
    <w:name w:val="heading 3"/>
    <w:basedOn w:val="Normal"/>
    <w:next w:val="Normal"/>
    <w:link w:val="Heading3Char"/>
    <w:unhideWhenUsed/>
    <w:qFormat/>
    <w:rsid w:val="00C75D0C"/>
    <w:pPr>
      <w:keepNext/>
      <w:keepLines/>
      <w:pBdr>
        <w:top w:val="single" w:sz="8" w:space="1" w:color="auto"/>
        <w:bottom w:val="single" w:sz="8" w:space="1" w:color="auto"/>
      </w:pBdr>
      <w:shd w:val="clear" w:color="auto" w:fill="F2F2F2" w:themeFill="background1" w:themeFillShade="F2"/>
      <w:spacing w:before="360" w:after="360" w:line="276" w:lineRule="auto"/>
      <w:ind w:left="72" w:right="72"/>
      <w:jc w:val="center"/>
      <w:outlineLvl w:val="2"/>
    </w:pPr>
    <w:rPr>
      <w:rFonts w:asciiTheme="majorHAnsi" w:eastAsiaTheme="majorEastAsia" w:hAnsiTheme="majorHAnsi" w:cstheme="majorBidi"/>
      <w:b/>
      <w:bCs/>
      <w:color w:val="7F7F7F" w:themeColor="text1" w:themeTint="8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5D0C"/>
    <w:rPr>
      <w:rFonts w:asciiTheme="majorHAnsi" w:eastAsiaTheme="majorEastAsia" w:hAnsiTheme="majorHAnsi" w:cstheme="majorBidi"/>
      <w:b/>
      <w:bCs/>
      <w:color w:val="7F7F7F" w:themeColor="text1" w:themeTint="80"/>
      <w:sz w:val="28"/>
      <w:szCs w:val="28"/>
      <w:lang w:eastAsia="ja-JP"/>
    </w:rPr>
  </w:style>
  <w:style w:type="character" w:customStyle="1" w:styleId="Heading3Char">
    <w:name w:val="Heading 3 Char"/>
    <w:basedOn w:val="DefaultParagraphFont"/>
    <w:link w:val="Heading3"/>
    <w:rsid w:val="00C75D0C"/>
    <w:rPr>
      <w:rFonts w:asciiTheme="majorHAnsi" w:eastAsiaTheme="majorEastAsia" w:hAnsiTheme="majorHAnsi" w:cstheme="majorBidi"/>
      <w:b/>
      <w:bCs/>
      <w:color w:val="7F7F7F" w:themeColor="text1" w:themeTint="80"/>
      <w:sz w:val="24"/>
      <w:szCs w:val="24"/>
      <w:shd w:val="clear" w:color="auto" w:fill="F2F2F2" w:themeFill="background1" w:themeFillShade="F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Watkins</dc:creator>
  <cp:keywords/>
  <dc:description/>
  <cp:lastModifiedBy>McKenzie Watkins</cp:lastModifiedBy>
  <cp:revision>2</cp:revision>
  <dcterms:created xsi:type="dcterms:W3CDTF">2023-02-03T16:54:00Z</dcterms:created>
  <dcterms:modified xsi:type="dcterms:W3CDTF">2023-02-03T16:59:00Z</dcterms:modified>
</cp:coreProperties>
</file>